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D78" w:rsidRDefault="00462D78" w:rsidP="00300D09">
      <w:pPr>
        <w:jc w:val="center"/>
        <w:rPr>
          <w:b/>
          <w:sz w:val="28"/>
          <w:szCs w:val="28"/>
        </w:rPr>
      </w:pPr>
      <w:r w:rsidRPr="00462D78">
        <w:rPr>
          <w:b/>
          <w:sz w:val="28"/>
          <w:szCs w:val="28"/>
        </w:rPr>
        <w:t xml:space="preserve">Courses Approved by New York Court of Appeals </w:t>
      </w:r>
      <w:r w:rsidR="00300D09">
        <w:rPr>
          <w:b/>
          <w:sz w:val="28"/>
          <w:szCs w:val="28"/>
        </w:rPr>
        <w:t>under Rule 520.6</w:t>
      </w:r>
    </w:p>
    <w:p w:rsidR="00F01A0A" w:rsidRPr="00F01A0A" w:rsidRDefault="00F01A0A" w:rsidP="00F01A0A">
      <w:pPr>
        <w:rPr>
          <w:i/>
          <w:szCs w:val="24"/>
        </w:rPr>
      </w:pPr>
      <w:r>
        <w:rPr>
          <w:i/>
          <w:szCs w:val="24"/>
        </w:rPr>
        <w:t xml:space="preserve">Students </w:t>
      </w:r>
      <w:proofErr w:type="gramStart"/>
      <w:r w:rsidR="00300D09">
        <w:rPr>
          <w:i/>
          <w:szCs w:val="24"/>
        </w:rPr>
        <w:t xml:space="preserve">who are not otherwise eligible and are </w:t>
      </w:r>
      <w:r>
        <w:rPr>
          <w:i/>
          <w:szCs w:val="24"/>
        </w:rPr>
        <w:t xml:space="preserve">planning to </w:t>
      </w:r>
      <w:r w:rsidR="0010028D">
        <w:rPr>
          <w:i/>
          <w:szCs w:val="24"/>
        </w:rPr>
        <w:t xml:space="preserve">use the LLM degree to </w:t>
      </w:r>
      <w:r>
        <w:rPr>
          <w:i/>
          <w:szCs w:val="24"/>
        </w:rPr>
        <w:t>sit for the NY Bar</w:t>
      </w:r>
      <w:proofErr w:type="gramEnd"/>
      <w:r>
        <w:rPr>
          <w:i/>
          <w:szCs w:val="24"/>
        </w:rPr>
        <w:t xml:space="preserve"> must </w:t>
      </w:r>
      <w:r w:rsidR="00B85237">
        <w:rPr>
          <w:i/>
          <w:szCs w:val="24"/>
        </w:rPr>
        <w:t>meet the following requirements</w:t>
      </w:r>
      <w:r>
        <w:rPr>
          <w:i/>
          <w:szCs w:val="24"/>
        </w:rPr>
        <w:t xml:space="preserve"> </w:t>
      </w:r>
      <w:r w:rsidR="00B85237">
        <w:rPr>
          <w:i/>
          <w:szCs w:val="24"/>
        </w:rPr>
        <w:t>during the LLM program at Duke</w:t>
      </w:r>
      <w:r w:rsidR="007F2559">
        <w:rPr>
          <w:i/>
          <w:szCs w:val="24"/>
        </w:rPr>
        <w:t>:</w:t>
      </w:r>
    </w:p>
    <w:p w:rsidR="009B211F" w:rsidRDefault="00462D78" w:rsidP="00462D78">
      <w:pPr>
        <w:rPr>
          <w:szCs w:val="24"/>
          <w:u w:val="single"/>
        </w:rPr>
      </w:pPr>
      <w:r>
        <w:rPr>
          <w:szCs w:val="24"/>
        </w:rPr>
        <w:t xml:space="preserve">I. </w:t>
      </w:r>
      <w:r w:rsidR="00F01A0A">
        <w:rPr>
          <w:szCs w:val="24"/>
        </w:rPr>
        <w:t xml:space="preserve"> </w:t>
      </w:r>
      <w:r w:rsidR="00F01A0A" w:rsidRPr="00F01A0A">
        <w:rPr>
          <w:szCs w:val="24"/>
          <w:u w:val="single"/>
        </w:rPr>
        <w:t xml:space="preserve">Two credits </w:t>
      </w:r>
      <w:r w:rsidRPr="00AE35B8">
        <w:rPr>
          <w:szCs w:val="24"/>
          <w:u w:val="single"/>
        </w:rPr>
        <w:t xml:space="preserve">in Professional </w:t>
      </w:r>
      <w:r w:rsidRPr="00EA40DD">
        <w:rPr>
          <w:szCs w:val="24"/>
          <w:u w:val="single"/>
        </w:rPr>
        <w:t>Respons</w:t>
      </w:r>
      <w:r w:rsidR="00EA40DD" w:rsidRPr="00EA40DD">
        <w:rPr>
          <w:szCs w:val="24"/>
          <w:u w:val="single"/>
        </w:rPr>
        <w:t>ibility</w:t>
      </w:r>
      <w:r w:rsidR="00EA40DD">
        <w:rPr>
          <w:szCs w:val="24"/>
        </w:rPr>
        <w:t xml:space="preserve"> (</w:t>
      </w:r>
      <w:r w:rsidR="00EA40DD" w:rsidRPr="00EA40DD">
        <w:rPr>
          <w:szCs w:val="24"/>
        </w:rPr>
        <w:t>Rule</w:t>
      </w:r>
      <w:r w:rsidR="00EA40DD">
        <w:rPr>
          <w:szCs w:val="24"/>
        </w:rPr>
        <w:t xml:space="preserve"> 520.6(b)(3)(vi)(a))</w:t>
      </w:r>
      <w:r w:rsidR="00B85237">
        <w:rPr>
          <w:szCs w:val="24"/>
        </w:rPr>
        <w:t>.  The following 2-credit courses have been approved by the NY Bar:</w:t>
      </w:r>
    </w:p>
    <w:p w:rsidR="00462D78" w:rsidRPr="00AE35B8" w:rsidRDefault="004C5DF1" w:rsidP="00AE35B8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Ethics of Social Justice Lawyering (Fall)</w:t>
      </w:r>
    </w:p>
    <w:p w:rsidR="00462D78" w:rsidRPr="00FC45BF" w:rsidRDefault="00462D78" w:rsidP="00FC45BF">
      <w:pPr>
        <w:pStyle w:val="ListParagraph"/>
        <w:numPr>
          <w:ilvl w:val="0"/>
          <w:numId w:val="1"/>
        </w:numPr>
        <w:rPr>
          <w:szCs w:val="24"/>
        </w:rPr>
      </w:pPr>
      <w:r w:rsidRPr="00FC45BF">
        <w:rPr>
          <w:szCs w:val="24"/>
        </w:rPr>
        <w:t>Ethics and the Law of Lawyering</w:t>
      </w:r>
      <w:r w:rsidR="004C5DF1">
        <w:rPr>
          <w:szCs w:val="24"/>
        </w:rPr>
        <w:t xml:space="preserve"> (Fall and Spring)</w:t>
      </w:r>
    </w:p>
    <w:p w:rsidR="00462D78" w:rsidRPr="00FC45BF" w:rsidRDefault="00462D78" w:rsidP="00FC45BF">
      <w:pPr>
        <w:pStyle w:val="ListParagraph"/>
        <w:numPr>
          <w:ilvl w:val="0"/>
          <w:numId w:val="1"/>
        </w:numPr>
        <w:rPr>
          <w:szCs w:val="24"/>
        </w:rPr>
      </w:pPr>
      <w:r w:rsidRPr="00FC45BF">
        <w:rPr>
          <w:szCs w:val="24"/>
        </w:rPr>
        <w:t>Ethics and the Law of Lawyering in Civil Litigation</w:t>
      </w:r>
      <w:r w:rsidR="004C5DF1">
        <w:rPr>
          <w:szCs w:val="24"/>
        </w:rPr>
        <w:t xml:space="preserve"> (Spring)</w:t>
      </w:r>
    </w:p>
    <w:p w:rsidR="00462D78" w:rsidRDefault="00462D78" w:rsidP="00FC45BF">
      <w:pPr>
        <w:pStyle w:val="ListParagraph"/>
        <w:numPr>
          <w:ilvl w:val="0"/>
          <w:numId w:val="1"/>
        </w:numPr>
        <w:rPr>
          <w:szCs w:val="24"/>
        </w:rPr>
      </w:pPr>
      <w:r w:rsidRPr="00FC45BF">
        <w:rPr>
          <w:szCs w:val="24"/>
        </w:rPr>
        <w:t>Ethics in Action</w:t>
      </w:r>
      <w:r w:rsidR="004C5DF1">
        <w:rPr>
          <w:szCs w:val="24"/>
        </w:rPr>
        <w:t xml:space="preserve"> (Spring)</w:t>
      </w:r>
    </w:p>
    <w:p w:rsidR="009B211F" w:rsidRDefault="009B211F" w:rsidP="009B211F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Criminal Justice Ethics</w:t>
      </w:r>
      <w:r w:rsidR="004C5DF1">
        <w:rPr>
          <w:szCs w:val="24"/>
        </w:rPr>
        <w:t xml:space="preserve"> (Fall)</w:t>
      </w:r>
    </w:p>
    <w:p w:rsidR="009B211F" w:rsidRPr="00EA40DD" w:rsidRDefault="00462D78" w:rsidP="009B211F">
      <w:pPr>
        <w:rPr>
          <w:szCs w:val="24"/>
        </w:rPr>
      </w:pPr>
      <w:r>
        <w:rPr>
          <w:szCs w:val="24"/>
        </w:rPr>
        <w:t>II</w:t>
      </w:r>
      <w:proofErr w:type="gramStart"/>
      <w:r>
        <w:rPr>
          <w:szCs w:val="24"/>
        </w:rPr>
        <w:t xml:space="preserve">.  </w:t>
      </w:r>
      <w:r w:rsidR="00A539CF" w:rsidRPr="00A539CF">
        <w:rPr>
          <w:szCs w:val="24"/>
          <w:u w:val="single"/>
        </w:rPr>
        <w:t>Two</w:t>
      </w:r>
      <w:proofErr w:type="gramEnd"/>
      <w:r w:rsidR="00A539CF" w:rsidRPr="00A539CF">
        <w:rPr>
          <w:szCs w:val="24"/>
          <w:u w:val="single"/>
        </w:rPr>
        <w:t xml:space="preserve"> credits</w:t>
      </w:r>
      <w:r w:rsidR="00FC45BF" w:rsidRPr="00AE35B8">
        <w:rPr>
          <w:szCs w:val="24"/>
          <w:u w:val="single"/>
        </w:rPr>
        <w:t xml:space="preserve"> in legal research, writing and analysis</w:t>
      </w:r>
      <w:r w:rsidR="00EA40DD">
        <w:rPr>
          <w:szCs w:val="24"/>
        </w:rPr>
        <w:t xml:space="preserve"> (Rule 520.6(b)(3)(vi)(b</w:t>
      </w:r>
      <w:r w:rsidR="00EA40DD" w:rsidRPr="00462D78">
        <w:rPr>
          <w:szCs w:val="24"/>
        </w:rPr>
        <w:t>)</w:t>
      </w:r>
      <w:r w:rsidR="00EA40DD">
        <w:rPr>
          <w:szCs w:val="24"/>
        </w:rPr>
        <w:t>)</w:t>
      </w:r>
    </w:p>
    <w:p w:rsidR="009B211F" w:rsidRDefault="009B211F" w:rsidP="009B211F">
      <w:pPr>
        <w:ind w:firstLine="720"/>
        <w:rPr>
          <w:szCs w:val="24"/>
          <w:u w:val="single"/>
        </w:rPr>
      </w:pPr>
      <w:r>
        <w:rPr>
          <w:szCs w:val="24"/>
        </w:rPr>
        <w:t xml:space="preserve">Fall semester </w:t>
      </w:r>
      <w:r>
        <w:rPr>
          <w:b/>
          <w:szCs w:val="24"/>
        </w:rPr>
        <w:t>only</w:t>
      </w:r>
      <w:r>
        <w:rPr>
          <w:szCs w:val="24"/>
        </w:rPr>
        <w:t>:</w:t>
      </w:r>
    </w:p>
    <w:p w:rsidR="00FC45BF" w:rsidRPr="009B211F" w:rsidRDefault="000156AF" w:rsidP="009B211F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U.S. </w:t>
      </w:r>
      <w:r w:rsidR="00FC45BF" w:rsidRPr="009B211F">
        <w:rPr>
          <w:szCs w:val="24"/>
        </w:rPr>
        <w:t>Legal Analysis, Research &amp; Writing for International Students</w:t>
      </w:r>
      <w:r>
        <w:rPr>
          <w:szCs w:val="24"/>
        </w:rPr>
        <w:t xml:space="preserve"> (195.01-4)</w:t>
      </w:r>
    </w:p>
    <w:p w:rsidR="00FC45BF" w:rsidRPr="00EA40DD" w:rsidRDefault="00FC45BF" w:rsidP="00FC45BF">
      <w:pPr>
        <w:rPr>
          <w:szCs w:val="24"/>
        </w:rPr>
      </w:pPr>
      <w:r>
        <w:rPr>
          <w:szCs w:val="24"/>
        </w:rPr>
        <w:t>III</w:t>
      </w:r>
      <w:proofErr w:type="gramStart"/>
      <w:r>
        <w:rPr>
          <w:szCs w:val="24"/>
        </w:rPr>
        <w:t xml:space="preserve">.  </w:t>
      </w:r>
      <w:r w:rsidR="00A539CF">
        <w:rPr>
          <w:szCs w:val="24"/>
          <w:u w:val="single"/>
        </w:rPr>
        <w:t>Two</w:t>
      </w:r>
      <w:proofErr w:type="gramEnd"/>
      <w:r w:rsidR="00A539CF">
        <w:rPr>
          <w:szCs w:val="24"/>
          <w:u w:val="single"/>
        </w:rPr>
        <w:t xml:space="preserve"> credits</w:t>
      </w:r>
      <w:r w:rsidR="00F01A0A">
        <w:rPr>
          <w:szCs w:val="24"/>
          <w:u w:val="single"/>
        </w:rPr>
        <w:t xml:space="preserve"> in American legal s</w:t>
      </w:r>
      <w:r w:rsidR="009B211F">
        <w:rPr>
          <w:szCs w:val="24"/>
          <w:u w:val="single"/>
        </w:rPr>
        <w:t>tudies</w:t>
      </w:r>
      <w:r w:rsidR="00EA40DD">
        <w:rPr>
          <w:szCs w:val="24"/>
        </w:rPr>
        <w:t xml:space="preserve"> (Rule 520.6(b)(3)(vi)(c))</w:t>
      </w:r>
    </w:p>
    <w:p w:rsidR="009B211F" w:rsidRDefault="009B211F" w:rsidP="009B211F">
      <w:pPr>
        <w:ind w:firstLine="720"/>
        <w:rPr>
          <w:szCs w:val="24"/>
        </w:rPr>
      </w:pPr>
      <w:r>
        <w:rPr>
          <w:szCs w:val="24"/>
        </w:rPr>
        <w:t xml:space="preserve">Fall semester </w:t>
      </w:r>
      <w:r>
        <w:rPr>
          <w:b/>
          <w:szCs w:val="24"/>
        </w:rPr>
        <w:t>only</w:t>
      </w:r>
      <w:r>
        <w:rPr>
          <w:szCs w:val="24"/>
        </w:rPr>
        <w:t>:</w:t>
      </w:r>
    </w:p>
    <w:p w:rsidR="00FC45BF" w:rsidRDefault="00FC45BF" w:rsidP="00FC45BF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Distinctive Aspects of U.S. Law</w:t>
      </w:r>
      <w:r w:rsidR="000156AF">
        <w:rPr>
          <w:szCs w:val="24"/>
        </w:rPr>
        <w:t xml:space="preserve"> (190)</w:t>
      </w:r>
    </w:p>
    <w:p w:rsidR="00A539CF" w:rsidRDefault="00AE35B8" w:rsidP="00A539CF">
      <w:pPr>
        <w:rPr>
          <w:szCs w:val="24"/>
        </w:rPr>
      </w:pPr>
      <w:r>
        <w:rPr>
          <w:szCs w:val="24"/>
        </w:rPr>
        <w:t>IV</w:t>
      </w:r>
      <w:proofErr w:type="gramStart"/>
      <w:r>
        <w:rPr>
          <w:szCs w:val="24"/>
        </w:rPr>
        <w:t xml:space="preserve">.  </w:t>
      </w:r>
      <w:r w:rsidR="00A539CF">
        <w:rPr>
          <w:szCs w:val="24"/>
          <w:u w:val="single"/>
        </w:rPr>
        <w:t>Six</w:t>
      </w:r>
      <w:proofErr w:type="gramEnd"/>
      <w:r w:rsidR="00A539CF">
        <w:rPr>
          <w:szCs w:val="24"/>
          <w:u w:val="single"/>
        </w:rPr>
        <w:t xml:space="preserve"> credits</w:t>
      </w:r>
      <w:r w:rsidRPr="00AE35B8">
        <w:rPr>
          <w:szCs w:val="24"/>
          <w:u w:val="single"/>
        </w:rPr>
        <w:t xml:space="preserve"> in subjects tested on the NY Bar </w:t>
      </w:r>
      <w:r w:rsidRPr="00EA40DD">
        <w:rPr>
          <w:szCs w:val="24"/>
          <w:u w:val="single"/>
        </w:rPr>
        <w:t>exam</w:t>
      </w:r>
      <w:r w:rsidR="00EA40DD">
        <w:rPr>
          <w:szCs w:val="24"/>
        </w:rPr>
        <w:t xml:space="preserve"> (</w:t>
      </w:r>
      <w:r w:rsidR="00EA40DD" w:rsidRPr="00EA40DD">
        <w:rPr>
          <w:szCs w:val="24"/>
        </w:rPr>
        <w:t>Rule</w:t>
      </w:r>
      <w:r w:rsidR="00EA40DD">
        <w:rPr>
          <w:szCs w:val="24"/>
        </w:rPr>
        <w:t xml:space="preserve"> 520.6(b)(3)(vi)(d))</w:t>
      </w:r>
    </w:p>
    <w:p w:rsidR="009B211F" w:rsidRDefault="009B211F" w:rsidP="00A539CF">
      <w:pPr>
        <w:rPr>
          <w:szCs w:val="24"/>
        </w:rPr>
      </w:pPr>
      <w:r>
        <w:rPr>
          <w:szCs w:val="24"/>
        </w:rPr>
        <w:tab/>
      </w:r>
      <w:r w:rsidR="00354A46">
        <w:rPr>
          <w:szCs w:val="24"/>
        </w:rPr>
        <w:t>The</w:t>
      </w:r>
      <w:r w:rsidR="0015634B">
        <w:rPr>
          <w:szCs w:val="24"/>
        </w:rPr>
        <w:t xml:space="preserve"> following</w:t>
      </w:r>
      <w:r w:rsidR="00354A46">
        <w:rPr>
          <w:szCs w:val="24"/>
        </w:rPr>
        <w:t xml:space="preserve"> courses were approved by the NY Bar</w:t>
      </w:r>
      <w:r w:rsidR="00B85237">
        <w:rPr>
          <w:szCs w:val="24"/>
        </w:rPr>
        <w:t xml:space="preserve"> as meeting the requirement</w:t>
      </w:r>
      <w:r w:rsidR="00354A46">
        <w:rPr>
          <w:szCs w:val="24"/>
        </w:rPr>
        <w:t>:</w:t>
      </w:r>
    </w:p>
    <w:p w:rsidR="0015634B" w:rsidRPr="0015634B" w:rsidRDefault="0015634B" w:rsidP="0015634B">
      <w:pPr>
        <w:spacing w:after="120"/>
        <w:rPr>
          <w:b/>
          <w:szCs w:val="24"/>
        </w:rPr>
      </w:pPr>
      <w:r>
        <w:rPr>
          <w:szCs w:val="24"/>
        </w:rPr>
        <w:tab/>
      </w:r>
      <w:r>
        <w:rPr>
          <w:b/>
          <w:szCs w:val="24"/>
        </w:rPr>
        <w:t>First-year courses:</w:t>
      </w:r>
    </w:p>
    <w:p w:rsidR="00735A0C" w:rsidRDefault="00735A0C" w:rsidP="00735A0C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Civil Procedure</w:t>
      </w:r>
      <w:r w:rsidR="004C5DF1">
        <w:rPr>
          <w:szCs w:val="24"/>
        </w:rPr>
        <w:t xml:space="preserve"> (Fall)</w:t>
      </w:r>
    </w:p>
    <w:p w:rsidR="00735A0C" w:rsidRDefault="00735A0C" w:rsidP="00735A0C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Constitutional Law</w:t>
      </w:r>
      <w:r w:rsidR="00D548E1">
        <w:rPr>
          <w:szCs w:val="24"/>
        </w:rPr>
        <w:t xml:space="preserve"> (</w:t>
      </w:r>
      <w:r w:rsidR="004C5DF1">
        <w:rPr>
          <w:szCs w:val="24"/>
        </w:rPr>
        <w:t>Spring)</w:t>
      </w:r>
    </w:p>
    <w:p w:rsidR="00735A0C" w:rsidRDefault="00735A0C" w:rsidP="00735A0C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Contracts</w:t>
      </w:r>
      <w:r w:rsidR="004C5DF1">
        <w:rPr>
          <w:szCs w:val="24"/>
        </w:rPr>
        <w:t xml:space="preserve"> (Fall and Spring)</w:t>
      </w:r>
    </w:p>
    <w:p w:rsidR="006F4694" w:rsidRDefault="006F4694" w:rsidP="00735A0C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Criminal Law</w:t>
      </w:r>
      <w:r w:rsidR="004C5DF1">
        <w:rPr>
          <w:szCs w:val="24"/>
        </w:rPr>
        <w:t xml:space="preserve"> (Fall and Spring)</w:t>
      </w:r>
    </w:p>
    <w:p w:rsidR="00F01A0A" w:rsidRDefault="00735A0C" w:rsidP="00F01A0A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Property</w:t>
      </w:r>
      <w:r w:rsidR="004C5DF1">
        <w:rPr>
          <w:szCs w:val="24"/>
        </w:rPr>
        <w:t xml:space="preserve"> (Fall and Spring)</w:t>
      </w:r>
    </w:p>
    <w:p w:rsidR="0010028D" w:rsidRPr="0015634B" w:rsidRDefault="007D01D9" w:rsidP="0010028D">
      <w:pPr>
        <w:pStyle w:val="ListParagraph"/>
        <w:numPr>
          <w:ilvl w:val="0"/>
          <w:numId w:val="2"/>
        </w:numPr>
        <w:rPr>
          <w:szCs w:val="24"/>
        </w:rPr>
      </w:pPr>
      <w:r w:rsidRPr="0010028D">
        <w:rPr>
          <w:szCs w:val="24"/>
        </w:rPr>
        <w:t>Torts</w:t>
      </w:r>
      <w:r w:rsidR="0010028D" w:rsidRPr="0010028D">
        <w:t xml:space="preserve"> </w:t>
      </w:r>
      <w:r w:rsidR="004C5DF1">
        <w:t>(Fall)</w:t>
      </w:r>
    </w:p>
    <w:p w:rsidR="0015634B" w:rsidRPr="0015634B" w:rsidRDefault="0015634B" w:rsidP="0015634B">
      <w:pPr>
        <w:spacing w:after="120"/>
        <w:ind w:left="720"/>
        <w:rPr>
          <w:b/>
          <w:szCs w:val="24"/>
        </w:rPr>
      </w:pPr>
      <w:r>
        <w:rPr>
          <w:b/>
          <w:szCs w:val="24"/>
        </w:rPr>
        <w:t>Upper-level courses:</w:t>
      </w:r>
    </w:p>
    <w:p w:rsidR="0010028D" w:rsidRDefault="0010028D" w:rsidP="0010028D">
      <w:pPr>
        <w:pStyle w:val="ListParagraph"/>
        <w:numPr>
          <w:ilvl w:val="0"/>
          <w:numId w:val="2"/>
        </w:numPr>
        <w:rPr>
          <w:szCs w:val="24"/>
        </w:rPr>
      </w:pPr>
      <w:r w:rsidRPr="0010028D">
        <w:rPr>
          <w:szCs w:val="24"/>
        </w:rPr>
        <w:t>Administrative Law</w:t>
      </w:r>
      <w:r w:rsidR="004C5DF1">
        <w:rPr>
          <w:szCs w:val="24"/>
        </w:rPr>
        <w:t xml:space="preserve"> (Fall and Spring)</w:t>
      </w:r>
    </w:p>
    <w:p w:rsidR="002864C6" w:rsidRPr="0010028D" w:rsidRDefault="002864C6" w:rsidP="0010028D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Agency Law (Spring)</w:t>
      </w:r>
    </w:p>
    <w:p w:rsidR="007D01D9" w:rsidRPr="0010028D" w:rsidRDefault="0010028D" w:rsidP="0010028D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Business Associations</w:t>
      </w:r>
      <w:r w:rsidR="004C5DF1">
        <w:rPr>
          <w:szCs w:val="24"/>
        </w:rPr>
        <w:t xml:space="preserve"> (Fall and Spring)</w:t>
      </w:r>
    </w:p>
    <w:p w:rsidR="00F01A0A" w:rsidRDefault="00F01A0A" w:rsidP="00F01A0A">
      <w:pPr>
        <w:pStyle w:val="ListParagraph"/>
        <w:numPr>
          <w:ilvl w:val="0"/>
          <w:numId w:val="2"/>
        </w:numPr>
        <w:rPr>
          <w:szCs w:val="24"/>
        </w:rPr>
      </w:pPr>
      <w:r w:rsidRPr="00735A0C">
        <w:rPr>
          <w:szCs w:val="24"/>
        </w:rPr>
        <w:t>The Business and Economics of Law Firms</w:t>
      </w:r>
      <w:r w:rsidR="004C5DF1">
        <w:rPr>
          <w:szCs w:val="24"/>
        </w:rPr>
        <w:t xml:space="preserve"> (Fall)</w:t>
      </w:r>
    </w:p>
    <w:p w:rsidR="00B11F49" w:rsidRDefault="00B11F49" w:rsidP="00B11F49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Commercial Transactions</w:t>
      </w:r>
      <w:r w:rsidR="000156AF">
        <w:rPr>
          <w:szCs w:val="24"/>
        </w:rPr>
        <w:t xml:space="preserve"> </w:t>
      </w:r>
      <w:r w:rsidR="004C5DF1">
        <w:rPr>
          <w:szCs w:val="24"/>
        </w:rPr>
        <w:t>(Spring)</w:t>
      </w:r>
    </w:p>
    <w:p w:rsidR="0010028D" w:rsidRDefault="0010028D" w:rsidP="00F01A0A">
      <w:pPr>
        <w:pStyle w:val="ListParagraph"/>
        <w:numPr>
          <w:ilvl w:val="0"/>
          <w:numId w:val="2"/>
        </w:numPr>
        <w:rPr>
          <w:szCs w:val="24"/>
        </w:rPr>
      </w:pPr>
      <w:r w:rsidRPr="0010028D">
        <w:rPr>
          <w:szCs w:val="24"/>
        </w:rPr>
        <w:t>Conflict of Laws</w:t>
      </w:r>
      <w:r w:rsidR="004C5DF1">
        <w:rPr>
          <w:szCs w:val="24"/>
        </w:rPr>
        <w:t xml:space="preserve"> (Spring)</w:t>
      </w:r>
    </w:p>
    <w:p w:rsidR="00B11F49" w:rsidRDefault="00B11F49" w:rsidP="00B11F49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Criminal Procedure: Adjudication</w:t>
      </w:r>
      <w:r w:rsidR="004C5DF1">
        <w:rPr>
          <w:szCs w:val="24"/>
        </w:rPr>
        <w:t xml:space="preserve"> (Spring)</w:t>
      </w:r>
    </w:p>
    <w:p w:rsidR="00B11F49" w:rsidRDefault="00B11F49" w:rsidP="00B11F49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Criminal Procedure: Investigation</w:t>
      </w:r>
      <w:r w:rsidR="004C5DF1">
        <w:rPr>
          <w:szCs w:val="24"/>
        </w:rPr>
        <w:t xml:space="preserve"> (Spring)</w:t>
      </w:r>
    </w:p>
    <w:p w:rsidR="00670331" w:rsidRPr="0010028D" w:rsidRDefault="00670331" w:rsidP="00E211DA">
      <w:pPr>
        <w:pStyle w:val="ListParagraph"/>
        <w:numPr>
          <w:ilvl w:val="0"/>
          <w:numId w:val="2"/>
        </w:numPr>
        <w:rPr>
          <w:szCs w:val="24"/>
        </w:rPr>
      </w:pPr>
      <w:r w:rsidRPr="0010028D">
        <w:rPr>
          <w:szCs w:val="24"/>
        </w:rPr>
        <w:t>Evidence</w:t>
      </w:r>
      <w:r w:rsidR="0010028D" w:rsidRPr="0010028D">
        <w:t xml:space="preserve"> </w:t>
      </w:r>
      <w:r w:rsidR="004C5DF1">
        <w:rPr>
          <w:szCs w:val="24"/>
        </w:rPr>
        <w:t>(Fall and Spring)</w:t>
      </w:r>
    </w:p>
    <w:p w:rsidR="00875C4E" w:rsidRDefault="00875C4E" w:rsidP="00875C4E">
      <w:pPr>
        <w:pStyle w:val="ListParagraph"/>
        <w:numPr>
          <w:ilvl w:val="0"/>
          <w:numId w:val="2"/>
        </w:numPr>
        <w:rPr>
          <w:szCs w:val="24"/>
        </w:rPr>
      </w:pPr>
      <w:r w:rsidRPr="00875C4E">
        <w:rPr>
          <w:szCs w:val="24"/>
        </w:rPr>
        <w:lastRenderedPageBreak/>
        <w:t>Family Law</w:t>
      </w:r>
      <w:r w:rsidR="004C5DF1">
        <w:rPr>
          <w:szCs w:val="24"/>
        </w:rPr>
        <w:t xml:space="preserve"> (Fall)</w:t>
      </w:r>
    </w:p>
    <w:p w:rsidR="00B11F49" w:rsidRDefault="00B11F49" w:rsidP="00B11F49">
      <w:pPr>
        <w:pStyle w:val="ListParagraph"/>
        <w:numPr>
          <w:ilvl w:val="0"/>
          <w:numId w:val="2"/>
        </w:numPr>
        <w:rPr>
          <w:szCs w:val="24"/>
        </w:rPr>
      </w:pPr>
      <w:r w:rsidRPr="00F01A0A">
        <w:rPr>
          <w:szCs w:val="24"/>
        </w:rPr>
        <w:t>Federal Courts</w:t>
      </w:r>
      <w:r w:rsidR="004C5DF1">
        <w:rPr>
          <w:szCs w:val="24"/>
        </w:rPr>
        <w:t xml:space="preserve"> I (Fall)</w:t>
      </w:r>
    </w:p>
    <w:p w:rsidR="00B11F49" w:rsidRDefault="00B11F49" w:rsidP="00B11F49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Federal Prosecutor:  View from the Trenches</w:t>
      </w:r>
      <w:r w:rsidR="00B97971">
        <w:rPr>
          <w:szCs w:val="24"/>
        </w:rPr>
        <w:t xml:space="preserve"> </w:t>
      </w:r>
      <w:r w:rsidR="00B01D9F">
        <w:rPr>
          <w:szCs w:val="24"/>
        </w:rPr>
        <w:t xml:space="preserve">(not offered in 2018-19) </w:t>
      </w:r>
    </w:p>
    <w:p w:rsidR="00670331" w:rsidRDefault="00670331" w:rsidP="00670331">
      <w:pPr>
        <w:pStyle w:val="ListParagraph"/>
        <w:numPr>
          <w:ilvl w:val="0"/>
          <w:numId w:val="2"/>
        </w:numPr>
        <w:rPr>
          <w:szCs w:val="24"/>
        </w:rPr>
      </w:pPr>
      <w:r w:rsidRPr="00670331">
        <w:rPr>
          <w:szCs w:val="24"/>
        </w:rPr>
        <w:t>First Amendment</w:t>
      </w:r>
      <w:r w:rsidR="004C5DF1">
        <w:rPr>
          <w:szCs w:val="24"/>
        </w:rPr>
        <w:t xml:space="preserve"> </w:t>
      </w:r>
      <w:r w:rsidR="00B01D9F">
        <w:rPr>
          <w:szCs w:val="24"/>
        </w:rPr>
        <w:t>(Fall)</w:t>
      </w:r>
    </w:p>
    <w:p w:rsidR="00835965" w:rsidRDefault="00835965" w:rsidP="00875C4E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Remedies </w:t>
      </w:r>
      <w:r w:rsidR="00B01D9F">
        <w:rPr>
          <w:szCs w:val="24"/>
        </w:rPr>
        <w:t>(Spring)</w:t>
      </w:r>
    </w:p>
    <w:p w:rsidR="00875C4E" w:rsidRDefault="00875C4E" w:rsidP="00875C4E">
      <w:pPr>
        <w:pStyle w:val="ListParagraph"/>
        <w:numPr>
          <w:ilvl w:val="0"/>
          <w:numId w:val="2"/>
        </w:numPr>
        <w:rPr>
          <w:szCs w:val="24"/>
        </w:rPr>
      </w:pPr>
      <w:r w:rsidRPr="00875C4E">
        <w:rPr>
          <w:szCs w:val="24"/>
        </w:rPr>
        <w:t>Principles of Commercial and Bankruptcy Law</w:t>
      </w:r>
      <w:r w:rsidR="00B01D9F">
        <w:rPr>
          <w:szCs w:val="24"/>
        </w:rPr>
        <w:t xml:space="preserve"> (Fall)</w:t>
      </w:r>
    </w:p>
    <w:p w:rsidR="00132F9C" w:rsidRDefault="00132F9C" w:rsidP="00132F9C">
      <w:pPr>
        <w:pStyle w:val="ListParagraph"/>
        <w:numPr>
          <w:ilvl w:val="0"/>
          <w:numId w:val="5"/>
        </w:numPr>
        <w:rPr>
          <w:szCs w:val="24"/>
        </w:rPr>
      </w:pPr>
      <w:r w:rsidRPr="00132F9C">
        <w:rPr>
          <w:szCs w:val="24"/>
        </w:rPr>
        <w:t xml:space="preserve">Structuring and Regulating Financial Transactions </w:t>
      </w:r>
      <w:r w:rsidR="00B01D9F">
        <w:rPr>
          <w:szCs w:val="24"/>
        </w:rPr>
        <w:t>(Spring)</w:t>
      </w:r>
    </w:p>
    <w:p w:rsidR="00927365" w:rsidRDefault="00927365" w:rsidP="00AF36EE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>Trusts and Estates</w:t>
      </w:r>
      <w:r w:rsidR="00B01D9F">
        <w:rPr>
          <w:szCs w:val="24"/>
        </w:rPr>
        <w:t xml:space="preserve"> (Spring)</w:t>
      </w:r>
    </w:p>
    <w:p w:rsidR="0015634B" w:rsidRDefault="0015634B" w:rsidP="00AE35B8">
      <w:pPr>
        <w:rPr>
          <w:bCs/>
          <w:color w:val="000000"/>
        </w:rPr>
      </w:pPr>
    </w:p>
    <w:p w:rsidR="0015634B" w:rsidRDefault="0015634B" w:rsidP="00AE35B8">
      <w:pPr>
        <w:rPr>
          <w:bCs/>
          <w:color w:val="000000"/>
        </w:rPr>
      </w:pPr>
    </w:p>
    <w:p w:rsidR="0015634B" w:rsidRDefault="0015634B" w:rsidP="00AE35B8">
      <w:pPr>
        <w:rPr>
          <w:bCs/>
          <w:color w:val="000000"/>
        </w:rPr>
      </w:pPr>
    </w:p>
    <w:p w:rsidR="0015634B" w:rsidRDefault="0015634B" w:rsidP="00AE35B8">
      <w:pPr>
        <w:rPr>
          <w:bCs/>
          <w:color w:val="000000"/>
        </w:rPr>
      </w:pPr>
    </w:p>
    <w:p w:rsidR="0015634B" w:rsidRDefault="0015634B" w:rsidP="00AE35B8">
      <w:pPr>
        <w:rPr>
          <w:bCs/>
          <w:color w:val="000000"/>
        </w:rPr>
      </w:pPr>
    </w:p>
    <w:p w:rsidR="0015634B" w:rsidRDefault="0015634B" w:rsidP="00AE35B8">
      <w:pPr>
        <w:rPr>
          <w:bCs/>
          <w:color w:val="000000"/>
        </w:rPr>
      </w:pPr>
    </w:p>
    <w:p w:rsidR="0015634B" w:rsidRDefault="0015634B" w:rsidP="00AE35B8">
      <w:pPr>
        <w:rPr>
          <w:bCs/>
          <w:color w:val="000000"/>
        </w:rPr>
      </w:pPr>
    </w:p>
    <w:p w:rsidR="0015634B" w:rsidRDefault="0015634B" w:rsidP="00AE35B8">
      <w:pPr>
        <w:rPr>
          <w:bCs/>
          <w:color w:val="000000"/>
        </w:rPr>
      </w:pPr>
    </w:p>
    <w:p w:rsidR="0015634B" w:rsidRDefault="0015634B" w:rsidP="00AE35B8">
      <w:pPr>
        <w:rPr>
          <w:bCs/>
          <w:color w:val="000000"/>
        </w:rPr>
      </w:pPr>
    </w:p>
    <w:p w:rsidR="0015634B" w:rsidRDefault="0015634B" w:rsidP="00AE35B8">
      <w:pPr>
        <w:rPr>
          <w:bCs/>
          <w:color w:val="000000"/>
        </w:rPr>
      </w:pPr>
    </w:p>
    <w:p w:rsidR="0015634B" w:rsidRDefault="0015634B" w:rsidP="00AE35B8">
      <w:pPr>
        <w:rPr>
          <w:bCs/>
          <w:color w:val="000000"/>
        </w:rPr>
      </w:pPr>
    </w:p>
    <w:p w:rsidR="0015634B" w:rsidRDefault="0015634B" w:rsidP="00AE35B8">
      <w:pPr>
        <w:rPr>
          <w:bCs/>
          <w:color w:val="000000"/>
        </w:rPr>
      </w:pPr>
    </w:p>
    <w:p w:rsidR="0015634B" w:rsidRDefault="0015634B" w:rsidP="00AE35B8">
      <w:pPr>
        <w:rPr>
          <w:bCs/>
          <w:color w:val="000000"/>
        </w:rPr>
      </w:pPr>
    </w:p>
    <w:p w:rsidR="0015634B" w:rsidRDefault="0015634B" w:rsidP="00AE35B8">
      <w:pPr>
        <w:rPr>
          <w:bCs/>
          <w:color w:val="000000"/>
        </w:rPr>
      </w:pPr>
    </w:p>
    <w:p w:rsidR="0015634B" w:rsidRDefault="0015634B" w:rsidP="00AE35B8">
      <w:pPr>
        <w:rPr>
          <w:bCs/>
          <w:color w:val="000000"/>
        </w:rPr>
      </w:pPr>
    </w:p>
    <w:p w:rsidR="0015634B" w:rsidRDefault="0015634B" w:rsidP="0015634B">
      <w:pPr>
        <w:tabs>
          <w:tab w:val="right" w:pos="9360"/>
        </w:tabs>
        <w:rPr>
          <w:bCs/>
          <w:color w:val="000000"/>
          <w:sz w:val="16"/>
          <w:szCs w:val="16"/>
        </w:rPr>
      </w:pPr>
      <w:r>
        <w:rPr>
          <w:bCs/>
          <w:color w:val="000000"/>
        </w:rPr>
        <w:tab/>
      </w:r>
      <w:r w:rsidR="008301F2">
        <w:rPr>
          <w:bCs/>
          <w:color w:val="000000"/>
          <w:sz w:val="16"/>
          <w:szCs w:val="16"/>
        </w:rPr>
        <w:t>8.8</w:t>
      </w:r>
      <w:bookmarkStart w:id="0" w:name="_GoBack"/>
      <w:bookmarkEnd w:id="0"/>
      <w:r w:rsidR="004F34F4">
        <w:rPr>
          <w:bCs/>
          <w:color w:val="000000"/>
          <w:sz w:val="16"/>
          <w:szCs w:val="16"/>
        </w:rPr>
        <w:t>.18</w:t>
      </w:r>
    </w:p>
    <w:p w:rsidR="004F34F4" w:rsidRPr="0015634B" w:rsidRDefault="004F34F4" w:rsidP="0015634B">
      <w:pPr>
        <w:tabs>
          <w:tab w:val="right" w:pos="9360"/>
        </w:tabs>
        <w:rPr>
          <w:sz w:val="16"/>
          <w:szCs w:val="16"/>
        </w:rPr>
      </w:pPr>
    </w:p>
    <w:sectPr w:rsidR="004F34F4" w:rsidRPr="00156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D4357"/>
    <w:multiLevelType w:val="hybridMultilevel"/>
    <w:tmpl w:val="81A625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DB5D3F"/>
    <w:multiLevelType w:val="hybridMultilevel"/>
    <w:tmpl w:val="08FE60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BB57EC"/>
    <w:multiLevelType w:val="hybridMultilevel"/>
    <w:tmpl w:val="5E5A2E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41B077E"/>
    <w:multiLevelType w:val="hybridMultilevel"/>
    <w:tmpl w:val="607E1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E8F759C"/>
    <w:multiLevelType w:val="hybridMultilevel"/>
    <w:tmpl w:val="8DD23F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78"/>
    <w:rsid w:val="00010ABF"/>
    <w:rsid w:val="000156AF"/>
    <w:rsid w:val="0010028D"/>
    <w:rsid w:val="00114FC4"/>
    <w:rsid w:val="001269BB"/>
    <w:rsid w:val="00132F9C"/>
    <w:rsid w:val="0015634B"/>
    <w:rsid w:val="001B4B84"/>
    <w:rsid w:val="002864C6"/>
    <w:rsid w:val="00300D09"/>
    <w:rsid w:val="00341E64"/>
    <w:rsid w:val="00354A46"/>
    <w:rsid w:val="003F780B"/>
    <w:rsid w:val="00426711"/>
    <w:rsid w:val="00462D78"/>
    <w:rsid w:val="004C5DF1"/>
    <w:rsid w:val="004F34F4"/>
    <w:rsid w:val="00545CF9"/>
    <w:rsid w:val="0057440B"/>
    <w:rsid w:val="00670331"/>
    <w:rsid w:val="006F4694"/>
    <w:rsid w:val="00735A0C"/>
    <w:rsid w:val="007D01D9"/>
    <w:rsid w:val="007F2559"/>
    <w:rsid w:val="008301F2"/>
    <w:rsid w:val="00835965"/>
    <w:rsid w:val="00875C4E"/>
    <w:rsid w:val="008D280F"/>
    <w:rsid w:val="0092447B"/>
    <w:rsid w:val="00927365"/>
    <w:rsid w:val="009B211F"/>
    <w:rsid w:val="00A539CF"/>
    <w:rsid w:val="00AE35B8"/>
    <w:rsid w:val="00AF36EE"/>
    <w:rsid w:val="00B01D9F"/>
    <w:rsid w:val="00B11F49"/>
    <w:rsid w:val="00B85237"/>
    <w:rsid w:val="00B97971"/>
    <w:rsid w:val="00CC100C"/>
    <w:rsid w:val="00D448E7"/>
    <w:rsid w:val="00D548E1"/>
    <w:rsid w:val="00E06D8E"/>
    <w:rsid w:val="00E64AB8"/>
    <w:rsid w:val="00EA40DD"/>
    <w:rsid w:val="00F01A0A"/>
    <w:rsid w:val="00FA35E2"/>
    <w:rsid w:val="00FC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32680"/>
  <w15:docId w15:val="{A0F15976-7A9B-4839-AA55-5DCF3808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5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40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DLS-SRV13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Maher</dc:creator>
  <cp:lastModifiedBy>Jennifer Maher, J.D.</cp:lastModifiedBy>
  <cp:revision>7</cp:revision>
  <cp:lastPrinted>2017-08-07T20:18:00Z</cp:lastPrinted>
  <dcterms:created xsi:type="dcterms:W3CDTF">2018-07-25T19:39:00Z</dcterms:created>
  <dcterms:modified xsi:type="dcterms:W3CDTF">2018-08-08T18:52:00Z</dcterms:modified>
</cp:coreProperties>
</file>